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767" w:rsidRPr="00B55E13" w:rsidRDefault="001E5767" w:rsidP="001E5767">
      <w:pPr>
        <w:jc w:val="center"/>
        <w:rPr>
          <w:b/>
          <w:sz w:val="48"/>
        </w:rPr>
      </w:pPr>
      <w:r w:rsidRPr="00B55E13">
        <w:rPr>
          <w:b/>
          <w:sz w:val="48"/>
        </w:rPr>
        <w:t>Skriver vi för att läsas eller för att synas?</w:t>
      </w:r>
    </w:p>
    <w:p w:rsidR="001E5767" w:rsidRPr="008D0C3A" w:rsidRDefault="00B32DB2" w:rsidP="001E5767">
      <w:pPr>
        <w:jc w:val="center"/>
        <w:rPr>
          <w:b/>
          <w:sz w:val="32"/>
        </w:rPr>
      </w:pPr>
      <w:r>
        <w:rPr>
          <w:b/>
          <w:sz w:val="32"/>
        </w:rPr>
        <w:t>Ett samtal</w:t>
      </w:r>
      <w:r w:rsidR="001E5767" w:rsidRPr="008D0C3A">
        <w:rPr>
          <w:b/>
          <w:sz w:val="32"/>
        </w:rPr>
        <w:t xml:space="preserve"> om det akademiska skrivandets politiska ekonomi</w:t>
      </w:r>
    </w:p>
    <w:p w:rsidR="001E5767" w:rsidRPr="008D0C3A" w:rsidRDefault="001E5767" w:rsidP="006542E7">
      <w:pPr>
        <w:jc w:val="center"/>
        <w:rPr>
          <w:b/>
        </w:rPr>
      </w:pPr>
      <w:r w:rsidRPr="008D0C3A">
        <w:rPr>
          <w:b/>
        </w:rPr>
        <w:t>Torsdag 21 februari</w:t>
      </w:r>
      <w:r>
        <w:rPr>
          <w:b/>
        </w:rPr>
        <w:t>, kl. 9.30 – 16.</w:t>
      </w:r>
      <w:r w:rsidR="00B32DB2">
        <w:rPr>
          <w:b/>
        </w:rPr>
        <w:t>3</w:t>
      </w:r>
      <w:r>
        <w:rPr>
          <w:b/>
        </w:rPr>
        <w:t>0 i Torgny Segerstedtsalen, Vasaparken, Göteborgs Universitet</w:t>
      </w:r>
    </w:p>
    <w:p w:rsidR="001E5767" w:rsidRDefault="001E5767" w:rsidP="006542E7">
      <w:pPr>
        <w:jc w:val="center"/>
        <w:rPr>
          <w:rStyle w:val="ingress"/>
        </w:rPr>
      </w:pPr>
      <w:r>
        <w:t>I en tid av starkt fokus på publikationer, mätbara prestationer och varumärkestänkande måste vi stanna upp och fråga oss varför vi skriver. Gör vi det för att läsas eller synas?</w:t>
      </w:r>
      <w:r>
        <w:rPr>
          <w:rStyle w:val="apple-converted-space"/>
        </w:rPr>
        <w:t> </w:t>
      </w:r>
      <w:r>
        <w:rPr>
          <w:rStyle w:val="ingress"/>
        </w:rPr>
        <w:t>Vilka sociala och ekonomiska strukturer påverkar varför, hur och vad vi skriver, liksom hur det sprids och värderas?</w:t>
      </w:r>
    </w:p>
    <w:p w:rsidR="00B32DB2" w:rsidRDefault="00B32DB2" w:rsidP="001E5767"/>
    <w:tbl>
      <w:tblPr>
        <w:tblStyle w:val="Tabellrutnt"/>
        <w:tblW w:w="0" w:type="auto"/>
        <w:tblLook w:val="04A0" w:firstRow="1" w:lastRow="0" w:firstColumn="1" w:lastColumn="0" w:noHBand="0" w:noVBand="1"/>
      </w:tblPr>
      <w:tblGrid>
        <w:gridCol w:w="3005"/>
        <w:gridCol w:w="3005"/>
        <w:gridCol w:w="3006"/>
      </w:tblGrid>
      <w:tr w:rsidR="001E5767" w:rsidTr="001E5767">
        <w:tc>
          <w:tcPr>
            <w:tcW w:w="3005" w:type="dxa"/>
          </w:tcPr>
          <w:p w:rsidR="001E5767" w:rsidRPr="001E5767" w:rsidRDefault="001E5767" w:rsidP="008D5B9E">
            <w:pPr>
              <w:pStyle w:val="Normalwebb"/>
              <w:rPr>
                <w:rFonts w:asciiTheme="minorHAnsi" w:hAnsiTheme="minorHAnsi" w:cstheme="minorHAnsi"/>
                <w:sz w:val="22"/>
              </w:rPr>
            </w:pPr>
            <w:r w:rsidRPr="001E5767">
              <w:rPr>
                <w:rFonts w:asciiTheme="minorHAnsi" w:hAnsiTheme="minorHAnsi" w:cstheme="minorHAnsi"/>
                <w:sz w:val="22"/>
              </w:rPr>
              <w:t>9.30</w:t>
            </w:r>
            <w:r w:rsidR="008D5B9E">
              <w:rPr>
                <w:rFonts w:asciiTheme="minorHAnsi" w:hAnsiTheme="minorHAnsi" w:cstheme="minorHAnsi"/>
                <w:sz w:val="22"/>
              </w:rPr>
              <w:t>-</w:t>
            </w:r>
            <w:r w:rsidRPr="001E5767">
              <w:rPr>
                <w:rFonts w:asciiTheme="minorHAnsi" w:hAnsiTheme="minorHAnsi" w:cstheme="minorHAnsi"/>
                <w:sz w:val="22"/>
              </w:rPr>
              <w:t>9.40</w:t>
            </w:r>
            <w:r w:rsidR="008D5B9E">
              <w:rPr>
                <w:rFonts w:asciiTheme="minorHAnsi" w:hAnsiTheme="minorHAnsi" w:cstheme="minorHAnsi"/>
                <w:sz w:val="22"/>
              </w:rPr>
              <w:t xml:space="preserve"> </w:t>
            </w:r>
          </w:p>
        </w:tc>
        <w:tc>
          <w:tcPr>
            <w:tcW w:w="3005" w:type="dxa"/>
          </w:tcPr>
          <w:p w:rsidR="001E5767" w:rsidRPr="001E5767" w:rsidRDefault="001E5767" w:rsidP="001E5767">
            <w:pPr>
              <w:pStyle w:val="Normalwebb"/>
              <w:rPr>
                <w:rFonts w:asciiTheme="minorHAnsi" w:hAnsiTheme="minorHAnsi" w:cstheme="minorHAnsi"/>
                <w:sz w:val="22"/>
              </w:rPr>
            </w:pPr>
            <w:r w:rsidRPr="001E5767">
              <w:rPr>
                <w:rFonts w:asciiTheme="minorHAnsi" w:hAnsiTheme="minorHAnsi" w:cstheme="minorHAnsi"/>
                <w:sz w:val="22"/>
              </w:rPr>
              <w:t>Inledning</w:t>
            </w:r>
          </w:p>
        </w:tc>
        <w:tc>
          <w:tcPr>
            <w:tcW w:w="3006" w:type="dxa"/>
          </w:tcPr>
          <w:p w:rsidR="001E5767" w:rsidRPr="00B32DB2" w:rsidRDefault="001E5767" w:rsidP="006542E7">
            <w:pPr>
              <w:pStyle w:val="Normalwebb"/>
              <w:rPr>
                <w:rFonts w:asciiTheme="minorHAnsi" w:hAnsiTheme="minorHAnsi" w:cstheme="minorHAnsi"/>
              </w:rPr>
            </w:pPr>
            <w:r w:rsidRPr="00B32DB2">
              <w:rPr>
                <w:rFonts w:asciiTheme="minorHAnsi" w:hAnsiTheme="minorHAnsi" w:cstheme="minorHAnsi"/>
                <w:sz w:val="22"/>
              </w:rPr>
              <w:t>Johan Järlehed</w:t>
            </w:r>
            <w:r w:rsidR="006542E7">
              <w:rPr>
                <w:rFonts w:asciiTheme="minorHAnsi" w:hAnsiTheme="minorHAnsi" w:cstheme="minorHAnsi"/>
                <w:sz w:val="22"/>
              </w:rPr>
              <w:t xml:space="preserve">, Institutionen för språk och litteraturer, </w:t>
            </w:r>
            <w:r w:rsidRPr="00B32DB2">
              <w:rPr>
                <w:rFonts w:asciiTheme="minorHAnsi" w:hAnsiTheme="minorHAnsi" w:cstheme="minorHAnsi"/>
                <w:sz w:val="22"/>
              </w:rPr>
              <w:t>och Susanna Karlsson</w:t>
            </w:r>
            <w:r w:rsidR="006542E7">
              <w:rPr>
                <w:rFonts w:asciiTheme="minorHAnsi" w:hAnsiTheme="minorHAnsi" w:cstheme="minorHAnsi"/>
                <w:sz w:val="22"/>
              </w:rPr>
              <w:t>, Institutionen för svenska språket (GU)</w:t>
            </w:r>
          </w:p>
        </w:tc>
      </w:tr>
      <w:tr w:rsidR="001E5767" w:rsidTr="001E5767">
        <w:tc>
          <w:tcPr>
            <w:tcW w:w="3005" w:type="dxa"/>
          </w:tcPr>
          <w:p w:rsidR="001E5767" w:rsidRPr="001E5767" w:rsidRDefault="001E5767" w:rsidP="001E5767">
            <w:pPr>
              <w:pStyle w:val="Normalwebb"/>
              <w:rPr>
                <w:rFonts w:asciiTheme="minorHAnsi" w:hAnsiTheme="minorHAnsi" w:cstheme="minorHAnsi"/>
                <w:sz w:val="22"/>
              </w:rPr>
            </w:pPr>
            <w:r w:rsidRPr="001E5767">
              <w:rPr>
                <w:rFonts w:asciiTheme="minorHAnsi" w:hAnsiTheme="minorHAnsi" w:cstheme="minorHAnsi"/>
                <w:sz w:val="22"/>
              </w:rPr>
              <w:t>9.40-10.40</w:t>
            </w:r>
          </w:p>
        </w:tc>
        <w:tc>
          <w:tcPr>
            <w:tcW w:w="3005" w:type="dxa"/>
          </w:tcPr>
          <w:p w:rsidR="001E5767" w:rsidRPr="001E5767" w:rsidRDefault="001B4C61" w:rsidP="001E5767">
            <w:pPr>
              <w:pStyle w:val="Normalwebb"/>
              <w:rPr>
                <w:rFonts w:asciiTheme="minorHAnsi" w:hAnsiTheme="minorHAnsi" w:cstheme="minorHAnsi"/>
                <w:sz w:val="22"/>
              </w:rPr>
            </w:pPr>
            <w:r w:rsidRPr="001B4C61">
              <w:rPr>
                <w:rFonts w:asciiTheme="minorHAnsi" w:hAnsiTheme="minorHAnsi" w:cstheme="minorHAnsi"/>
                <w:sz w:val="22"/>
              </w:rPr>
              <w:t xml:space="preserve">Engelska – akademins </w:t>
            </w:r>
            <w:proofErr w:type="spellStart"/>
            <w:r w:rsidRPr="001B4C61">
              <w:rPr>
                <w:rFonts w:asciiTheme="minorHAnsi" w:hAnsiTheme="minorHAnsi" w:cstheme="minorHAnsi"/>
                <w:i/>
                <w:sz w:val="22"/>
              </w:rPr>
              <w:t>lingua</w:t>
            </w:r>
            <w:proofErr w:type="spellEnd"/>
            <w:r w:rsidRPr="001B4C61">
              <w:rPr>
                <w:rFonts w:asciiTheme="minorHAnsi" w:hAnsiTheme="minorHAnsi" w:cstheme="minorHAnsi"/>
                <w:i/>
                <w:sz w:val="22"/>
              </w:rPr>
              <w:t xml:space="preserve"> </w:t>
            </w:r>
            <w:proofErr w:type="spellStart"/>
            <w:r w:rsidRPr="001B4C61">
              <w:rPr>
                <w:rFonts w:asciiTheme="minorHAnsi" w:hAnsiTheme="minorHAnsi" w:cstheme="minorHAnsi"/>
                <w:i/>
                <w:sz w:val="22"/>
              </w:rPr>
              <w:t>franca</w:t>
            </w:r>
            <w:proofErr w:type="spellEnd"/>
            <w:r w:rsidRPr="001B4C61">
              <w:rPr>
                <w:rFonts w:asciiTheme="minorHAnsi" w:hAnsiTheme="minorHAnsi" w:cstheme="minorHAnsi"/>
                <w:sz w:val="22"/>
              </w:rPr>
              <w:t>?</w:t>
            </w:r>
          </w:p>
        </w:tc>
        <w:tc>
          <w:tcPr>
            <w:tcW w:w="3006" w:type="dxa"/>
          </w:tcPr>
          <w:p w:rsidR="001E5767" w:rsidRDefault="001B4C61" w:rsidP="001E5767">
            <w:pPr>
              <w:pStyle w:val="Normalwebb"/>
              <w:rPr>
                <w:rFonts w:asciiTheme="minorHAnsi" w:hAnsiTheme="minorHAnsi" w:cstheme="minorHAnsi"/>
                <w:sz w:val="22"/>
              </w:rPr>
            </w:pPr>
            <w:r w:rsidRPr="001B4C61">
              <w:rPr>
                <w:rFonts w:asciiTheme="minorHAnsi" w:hAnsiTheme="minorHAnsi" w:cstheme="minorHAnsi"/>
                <w:sz w:val="22"/>
              </w:rPr>
              <w:t xml:space="preserve">Linus </w:t>
            </w:r>
            <w:proofErr w:type="spellStart"/>
            <w:r w:rsidRPr="001B4C61">
              <w:rPr>
                <w:rFonts w:asciiTheme="minorHAnsi" w:hAnsiTheme="minorHAnsi" w:cstheme="minorHAnsi"/>
                <w:sz w:val="22"/>
              </w:rPr>
              <w:t>Salö</w:t>
            </w:r>
            <w:proofErr w:type="spellEnd"/>
            <w:r>
              <w:rPr>
                <w:rFonts w:asciiTheme="minorHAnsi" w:hAnsiTheme="minorHAnsi" w:cstheme="minorHAnsi"/>
                <w:sz w:val="22"/>
              </w:rPr>
              <w:t>, Kungliga tekniska högskolan</w:t>
            </w:r>
          </w:p>
          <w:p w:rsidR="001B4C61" w:rsidRPr="001B4C61" w:rsidRDefault="001B4C61" w:rsidP="001E5767">
            <w:pPr>
              <w:pStyle w:val="Normalwebb"/>
              <w:rPr>
                <w:rFonts w:asciiTheme="minorHAnsi" w:hAnsiTheme="minorHAnsi" w:cstheme="minorHAnsi"/>
              </w:rPr>
            </w:pPr>
            <w:r>
              <w:rPr>
                <w:rFonts w:asciiTheme="minorHAnsi" w:hAnsiTheme="minorHAnsi" w:cstheme="minorHAnsi"/>
                <w:sz w:val="22"/>
              </w:rPr>
              <w:t>Susanna Karlsson, Göteborgs universitet</w:t>
            </w:r>
            <w:r w:rsidR="006542E7">
              <w:rPr>
                <w:rFonts w:asciiTheme="minorHAnsi" w:hAnsiTheme="minorHAnsi" w:cstheme="minorHAnsi"/>
                <w:sz w:val="22"/>
              </w:rPr>
              <w:t>, Institutionen för svenska språket</w:t>
            </w:r>
          </w:p>
        </w:tc>
      </w:tr>
      <w:tr w:rsidR="001E5767" w:rsidTr="001E5767">
        <w:tc>
          <w:tcPr>
            <w:tcW w:w="3005" w:type="dxa"/>
          </w:tcPr>
          <w:p w:rsidR="001E5767" w:rsidRPr="001E5767" w:rsidRDefault="001E5767" w:rsidP="001E5767">
            <w:pPr>
              <w:pStyle w:val="Normalwebb"/>
              <w:rPr>
                <w:rFonts w:asciiTheme="minorHAnsi" w:hAnsiTheme="minorHAnsi" w:cstheme="minorHAnsi"/>
                <w:sz w:val="22"/>
              </w:rPr>
            </w:pPr>
            <w:r w:rsidRPr="001E5767">
              <w:rPr>
                <w:rFonts w:asciiTheme="minorHAnsi" w:hAnsiTheme="minorHAnsi" w:cstheme="minorHAnsi"/>
                <w:sz w:val="22"/>
              </w:rPr>
              <w:t>10.40-11.00</w:t>
            </w:r>
          </w:p>
        </w:tc>
        <w:tc>
          <w:tcPr>
            <w:tcW w:w="3005" w:type="dxa"/>
          </w:tcPr>
          <w:p w:rsidR="001E5767" w:rsidRPr="001E5767" w:rsidRDefault="00B32DB2" w:rsidP="001E5767">
            <w:pPr>
              <w:pStyle w:val="Normalwebb"/>
              <w:rPr>
                <w:rFonts w:asciiTheme="minorHAnsi" w:hAnsiTheme="minorHAnsi" w:cstheme="minorHAnsi"/>
                <w:sz w:val="22"/>
              </w:rPr>
            </w:pPr>
            <w:r>
              <w:rPr>
                <w:rFonts w:asciiTheme="minorHAnsi" w:hAnsiTheme="minorHAnsi" w:cstheme="minorHAnsi"/>
                <w:sz w:val="22"/>
              </w:rPr>
              <w:t>Fika</w:t>
            </w:r>
          </w:p>
        </w:tc>
        <w:tc>
          <w:tcPr>
            <w:tcW w:w="3006" w:type="dxa"/>
          </w:tcPr>
          <w:p w:rsidR="001E5767" w:rsidRDefault="001E5767" w:rsidP="001E5767">
            <w:pPr>
              <w:pStyle w:val="Normalwebb"/>
            </w:pPr>
          </w:p>
        </w:tc>
      </w:tr>
      <w:tr w:rsidR="001E5767" w:rsidTr="001E5767">
        <w:tc>
          <w:tcPr>
            <w:tcW w:w="3005" w:type="dxa"/>
          </w:tcPr>
          <w:p w:rsidR="001E5767" w:rsidRPr="001E5767" w:rsidRDefault="001E5767" w:rsidP="001E5767">
            <w:pPr>
              <w:pStyle w:val="Normalwebb"/>
              <w:rPr>
                <w:rFonts w:asciiTheme="minorHAnsi" w:hAnsiTheme="minorHAnsi" w:cstheme="minorHAnsi"/>
                <w:sz w:val="22"/>
              </w:rPr>
            </w:pPr>
            <w:r w:rsidRPr="001E5767">
              <w:rPr>
                <w:rFonts w:asciiTheme="minorHAnsi" w:hAnsiTheme="minorHAnsi" w:cstheme="minorHAnsi"/>
                <w:sz w:val="22"/>
              </w:rPr>
              <w:t>11.00-12.00</w:t>
            </w:r>
          </w:p>
        </w:tc>
        <w:tc>
          <w:tcPr>
            <w:tcW w:w="3005" w:type="dxa"/>
          </w:tcPr>
          <w:p w:rsidR="001E5767" w:rsidRPr="001E5767" w:rsidRDefault="001B4C61" w:rsidP="001E5767">
            <w:pPr>
              <w:pStyle w:val="Normalwebb"/>
              <w:rPr>
                <w:rFonts w:asciiTheme="minorHAnsi" w:hAnsiTheme="minorHAnsi" w:cstheme="minorHAnsi"/>
                <w:sz w:val="22"/>
              </w:rPr>
            </w:pPr>
            <w:r w:rsidRPr="001B4C61">
              <w:rPr>
                <w:rFonts w:asciiTheme="minorHAnsi" w:hAnsiTheme="minorHAnsi" w:cstheme="minorHAnsi"/>
                <w:sz w:val="22"/>
              </w:rPr>
              <w:t>Skriver vi för att läsas eller synas?</w:t>
            </w:r>
          </w:p>
        </w:tc>
        <w:tc>
          <w:tcPr>
            <w:tcW w:w="3006" w:type="dxa"/>
          </w:tcPr>
          <w:p w:rsidR="001B4C61" w:rsidRDefault="001B4C61" w:rsidP="001E5767">
            <w:pPr>
              <w:pStyle w:val="Normalwebb"/>
              <w:rPr>
                <w:rFonts w:asciiTheme="minorHAnsi" w:hAnsiTheme="minorHAnsi" w:cstheme="minorHAnsi"/>
              </w:rPr>
            </w:pPr>
            <w:r w:rsidRPr="001B4C61">
              <w:rPr>
                <w:rFonts w:asciiTheme="minorHAnsi" w:hAnsiTheme="minorHAnsi" w:cstheme="minorHAnsi"/>
                <w:sz w:val="22"/>
              </w:rPr>
              <w:t xml:space="preserve">Björn Hammarfelt, </w:t>
            </w:r>
            <w:r>
              <w:rPr>
                <w:rFonts w:asciiTheme="minorHAnsi" w:hAnsiTheme="minorHAnsi" w:cstheme="minorHAnsi"/>
                <w:sz w:val="22"/>
              </w:rPr>
              <w:t>H</w:t>
            </w:r>
            <w:r w:rsidRPr="001B4C61">
              <w:rPr>
                <w:rFonts w:asciiTheme="minorHAnsi" w:hAnsiTheme="minorHAnsi" w:cstheme="minorHAnsi"/>
                <w:sz w:val="22"/>
              </w:rPr>
              <w:t>ögskola</w:t>
            </w:r>
            <w:r>
              <w:rPr>
                <w:rFonts w:asciiTheme="minorHAnsi" w:hAnsiTheme="minorHAnsi" w:cstheme="minorHAnsi"/>
                <w:sz w:val="22"/>
              </w:rPr>
              <w:t xml:space="preserve">n i </w:t>
            </w:r>
            <w:r w:rsidRPr="001B4C61">
              <w:rPr>
                <w:rFonts w:asciiTheme="minorHAnsi" w:hAnsiTheme="minorHAnsi" w:cstheme="minorHAnsi"/>
                <w:sz w:val="22"/>
              </w:rPr>
              <w:t>Borås</w:t>
            </w:r>
            <w:r w:rsidR="006542E7">
              <w:rPr>
                <w:rFonts w:asciiTheme="minorHAnsi" w:hAnsiTheme="minorHAnsi" w:cstheme="minorHAnsi"/>
                <w:sz w:val="22"/>
              </w:rPr>
              <w:t xml:space="preserve">, </w:t>
            </w:r>
            <w:r w:rsidR="006542E7" w:rsidRPr="006542E7">
              <w:rPr>
                <w:rFonts w:asciiTheme="minorHAnsi" w:hAnsiTheme="minorHAnsi" w:cstheme="minorHAnsi"/>
                <w:sz w:val="22"/>
              </w:rPr>
              <w:t>Akademin för bibliotek, information, pedagogik och IT</w:t>
            </w:r>
            <w:r w:rsidRPr="001B4C61">
              <w:rPr>
                <w:rFonts w:asciiTheme="minorHAnsi" w:hAnsiTheme="minorHAnsi" w:cstheme="minorHAnsi"/>
              </w:rPr>
              <w:t xml:space="preserve"> </w:t>
            </w:r>
          </w:p>
          <w:p w:rsidR="001E5767" w:rsidRPr="001B4C61" w:rsidRDefault="001B4C61" w:rsidP="001E5767">
            <w:pPr>
              <w:pStyle w:val="Normalwebb"/>
              <w:rPr>
                <w:rFonts w:asciiTheme="minorHAnsi" w:hAnsiTheme="minorHAnsi" w:cstheme="minorHAnsi"/>
              </w:rPr>
            </w:pPr>
            <w:r w:rsidRPr="001B4C61">
              <w:rPr>
                <w:rFonts w:asciiTheme="minorHAnsi" w:hAnsiTheme="minorHAnsi" w:cstheme="minorHAnsi"/>
                <w:sz w:val="22"/>
              </w:rPr>
              <w:t>Lena Lindgren, Göteborgs universitet</w:t>
            </w:r>
            <w:r w:rsidR="006542E7">
              <w:rPr>
                <w:rFonts w:asciiTheme="minorHAnsi" w:hAnsiTheme="minorHAnsi" w:cstheme="minorHAnsi"/>
                <w:sz w:val="22"/>
              </w:rPr>
              <w:t>, Förvaltningshögskolan</w:t>
            </w:r>
          </w:p>
        </w:tc>
      </w:tr>
      <w:tr w:rsidR="001E5767" w:rsidTr="001E5767">
        <w:tc>
          <w:tcPr>
            <w:tcW w:w="3005" w:type="dxa"/>
          </w:tcPr>
          <w:p w:rsidR="001E5767" w:rsidRPr="001E5767" w:rsidRDefault="001E5767" w:rsidP="001E5767">
            <w:pPr>
              <w:pStyle w:val="Normalwebb"/>
              <w:rPr>
                <w:rFonts w:asciiTheme="minorHAnsi" w:hAnsiTheme="minorHAnsi" w:cstheme="minorHAnsi"/>
                <w:sz w:val="22"/>
              </w:rPr>
            </w:pPr>
            <w:r w:rsidRPr="001E5767">
              <w:rPr>
                <w:rFonts w:asciiTheme="minorHAnsi" w:hAnsiTheme="minorHAnsi" w:cstheme="minorHAnsi"/>
                <w:sz w:val="22"/>
              </w:rPr>
              <w:t>12.00-13.30</w:t>
            </w:r>
          </w:p>
        </w:tc>
        <w:tc>
          <w:tcPr>
            <w:tcW w:w="3005" w:type="dxa"/>
          </w:tcPr>
          <w:p w:rsidR="001E5767" w:rsidRPr="001E5767" w:rsidRDefault="001B4C61" w:rsidP="001E5767">
            <w:pPr>
              <w:pStyle w:val="Normalwebb"/>
              <w:rPr>
                <w:rFonts w:asciiTheme="minorHAnsi" w:hAnsiTheme="minorHAnsi" w:cstheme="minorHAnsi"/>
                <w:sz w:val="22"/>
              </w:rPr>
            </w:pPr>
            <w:r>
              <w:rPr>
                <w:rFonts w:asciiTheme="minorHAnsi" w:hAnsiTheme="minorHAnsi" w:cstheme="minorHAnsi"/>
                <w:sz w:val="22"/>
              </w:rPr>
              <w:t>Lunch</w:t>
            </w:r>
          </w:p>
        </w:tc>
        <w:tc>
          <w:tcPr>
            <w:tcW w:w="3006" w:type="dxa"/>
          </w:tcPr>
          <w:p w:rsidR="001E5767" w:rsidRDefault="001E5767" w:rsidP="001E5767">
            <w:pPr>
              <w:pStyle w:val="Normalwebb"/>
            </w:pPr>
          </w:p>
        </w:tc>
      </w:tr>
      <w:tr w:rsidR="001E5767" w:rsidTr="001E5767">
        <w:tc>
          <w:tcPr>
            <w:tcW w:w="3005" w:type="dxa"/>
          </w:tcPr>
          <w:p w:rsidR="001E5767" w:rsidRPr="001E5767" w:rsidRDefault="001E5767" w:rsidP="001E5767">
            <w:pPr>
              <w:pStyle w:val="Normalwebb"/>
              <w:rPr>
                <w:rFonts w:asciiTheme="minorHAnsi" w:hAnsiTheme="minorHAnsi" w:cstheme="minorHAnsi"/>
                <w:sz w:val="22"/>
              </w:rPr>
            </w:pPr>
            <w:r w:rsidRPr="001E5767">
              <w:rPr>
                <w:rFonts w:asciiTheme="minorHAnsi" w:hAnsiTheme="minorHAnsi" w:cstheme="minorHAnsi"/>
                <w:sz w:val="22"/>
              </w:rPr>
              <w:t>13.30-14.30</w:t>
            </w:r>
          </w:p>
        </w:tc>
        <w:tc>
          <w:tcPr>
            <w:tcW w:w="3005" w:type="dxa"/>
          </w:tcPr>
          <w:p w:rsidR="00EE4DEC" w:rsidRDefault="00EE4DEC" w:rsidP="004406FC">
            <w:pPr>
              <w:pStyle w:val="Normalwebb"/>
              <w:rPr>
                <w:rFonts w:asciiTheme="minorHAnsi" w:hAnsiTheme="minorHAnsi" w:cstheme="minorHAnsi"/>
                <w:sz w:val="22"/>
              </w:rPr>
            </w:pPr>
            <w:r>
              <w:rPr>
                <w:rFonts w:asciiTheme="minorHAnsi" w:hAnsiTheme="minorHAnsi" w:cstheme="minorHAnsi"/>
                <w:sz w:val="22"/>
              </w:rPr>
              <w:t>Vad händer när vi mäter</w:t>
            </w:r>
            <w:r w:rsidRPr="00421A6D">
              <w:rPr>
                <w:rFonts w:asciiTheme="minorHAnsi" w:hAnsiTheme="minorHAnsi" w:cstheme="minorHAnsi"/>
                <w:sz w:val="22"/>
              </w:rPr>
              <w:t xml:space="preserve"> akademisk framgång?</w:t>
            </w:r>
          </w:p>
          <w:p w:rsidR="001E5767" w:rsidRPr="001E5767" w:rsidRDefault="001E5767" w:rsidP="004406FC">
            <w:pPr>
              <w:pStyle w:val="Normalwebb"/>
              <w:rPr>
                <w:rFonts w:asciiTheme="minorHAnsi" w:hAnsiTheme="minorHAnsi" w:cstheme="minorHAnsi"/>
                <w:sz w:val="22"/>
              </w:rPr>
            </w:pPr>
          </w:p>
        </w:tc>
        <w:tc>
          <w:tcPr>
            <w:tcW w:w="3006" w:type="dxa"/>
          </w:tcPr>
          <w:p w:rsidR="00EE4DEC" w:rsidRDefault="002B6655" w:rsidP="00EE4DEC">
            <w:pPr>
              <w:pStyle w:val="Normalwebb"/>
              <w:rPr>
                <w:rFonts w:asciiTheme="minorHAnsi" w:hAnsiTheme="minorHAnsi" w:cstheme="minorHAnsi"/>
                <w:sz w:val="22"/>
              </w:rPr>
            </w:pPr>
            <w:r>
              <w:rPr>
                <w:rFonts w:asciiTheme="minorHAnsi" w:hAnsiTheme="minorHAnsi" w:cstheme="minorHAnsi"/>
                <w:sz w:val="22"/>
              </w:rPr>
              <w:t>Eva Schwar</w:t>
            </w:r>
            <w:r w:rsidR="00EE4DEC" w:rsidRPr="00421A6D">
              <w:rPr>
                <w:rFonts w:asciiTheme="minorHAnsi" w:hAnsiTheme="minorHAnsi" w:cstheme="minorHAnsi"/>
                <w:sz w:val="22"/>
              </w:rPr>
              <w:t xml:space="preserve">z, </w:t>
            </w:r>
            <w:r w:rsidR="00EE4DEC">
              <w:rPr>
                <w:rFonts w:asciiTheme="minorHAnsi" w:hAnsiTheme="minorHAnsi" w:cstheme="minorHAnsi"/>
                <w:sz w:val="22"/>
              </w:rPr>
              <w:t>Södertörns högskola, Center för praktisk kunskap</w:t>
            </w:r>
          </w:p>
          <w:p w:rsidR="00421A6D" w:rsidRPr="00421A6D" w:rsidRDefault="00EE4DEC" w:rsidP="00600516">
            <w:pPr>
              <w:pStyle w:val="Normalwebb"/>
              <w:rPr>
                <w:rFonts w:asciiTheme="minorHAnsi" w:hAnsiTheme="minorHAnsi" w:cstheme="minorHAnsi"/>
              </w:rPr>
            </w:pPr>
            <w:r w:rsidRPr="0071726E">
              <w:rPr>
                <w:rFonts w:asciiTheme="minorHAnsi" w:hAnsiTheme="minorHAnsi" w:cstheme="minorHAnsi"/>
                <w:sz w:val="22"/>
              </w:rPr>
              <w:t>Karolina Enquist Källgren</w:t>
            </w:r>
            <w:r>
              <w:rPr>
                <w:rFonts w:asciiTheme="minorHAnsi" w:hAnsiTheme="minorHAnsi" w:cstheme="minorHAnsi"/>
                <w:sz w:val="22"/>
              </w:rPr>
              <w:t>, Lunds universitet, Historiska institutionen</w:t>
            </w:r>
            <w:r w:rsidRPr="0071726E">
              <w:rPr>
                <w:rFonts w:asciiTheme="minorHAnsi" w:hAnsiTheme="minorHAnsi" w:cstheme="minorHAnsi"/>
                <w:sz w:val="22"/>
              </w:rPr>
              <w:t xml:space="preserve"> </w:t>
            </w:r>
          </w:p>
        </w:tc>
      </w:tr>
      <w:tr w:rsidR="00EE4DEC" w:rsidTr="001E5767">
        <w:tc>
          <w:tcPr>
            <w:tcW w:w="3005" w:type="dxa"/>
          </w:tcPr>
          <w:p w:rsidR="00EE4DEC" w:rsidRPr="001E5767" w:rsidRDefault="00EE4DEC" w:rsidP="00EE4DEC">
            <w:pPr>
              <w:pStyle w:val="Normalwebb"/>
              <w:rPr>
                <w:rFonts w:asciiTheme="minorHAnsi" w:hAnsiTheme="minorHAnsi" w:cstheme="minorHAnsi"/>
                <w:sz w:val="22"/>
              </w:rPr>
            </w:pPr>
            <w:r w:rsidRPr="001E5767">
              <w:rPr>
                <w:rFonts w:asciiTheme="minorHAnsi" w:hAnsiTheme="minorHAnsi" w:cstheme="minorHAnsi"/>
                <w:sz w:val="22"/>
              </w:rPr>
              <w:t>14.30-15</w:t>
            </w:r>
            <w:r>
              <w:rPr>
                <w:rFonts w:asciiTheme="minorHAnsi" w:hAnsiTheme="minorHAnsi" w:cstheme="minorHAnsi"/>
                <w:sz w:val="22"/>
              </w:rPr>
              <w:t>.</w:t>
            </w:r>
            <w:r w:rsidRPr="001E5767">
              <w:rPr>
                <w:rFonts w:asciiTheme="minorHAnsi" w:hAnsiTheme="minorHAnsi" w:cstheme="minorHAnsi"/>
                <w:sz w:val="22"/>
              </w:rPr>
              <w:t>0</w:t>
            </w:r>
            <w:r>
              <w:rPr>
                <w:rFonts w:asciiTheme="minorHAnsi" w:hAnsiTheme="minorHAnsi" w:cstheme="minorHAnsi"/>
                <w:sz w:val="22"/>
              </w:rPr>
              <w:t>0</w:t>
            </w:r>
          </w:p>
        </w:tc>
        <w:tc>
          <w:tcPr>
            <w:tcW w:w="3005" w:type="dxa"/>
          </w:tcPr>
          <w:p w:rsidR="00EE4DEC" w:rsidRPr="001E5767" w:rsidRDefault="00EE4DEC" w:rsidP="00EE4DEC">
            <w:pPr>
              <w:pStyle w:val="Normalwebb"/>
              <w:rPr>
                <w:rFonts w:asciiTheme="minorHAnsi" w:hAnsiTheme="minorHAnsi" w:cstheme="minorHAnsi"/>
                <w:sz w:val="22"/>
              </w:rPr>
            </w:pPr>
            <w:r>
              <w:rPr>
                <w:rFonts w:asciiTheme="minorHAnsi" w:hAnsiTheme="minorHAnsi" w:cstheme="minorHAnsi"/>
                <w:sz w:val="22"/>
              </w:rPr>
              <w:t>Fika</w:t>
            </w:r>
          </w:p>
        </w:tc>
        <w:tc>
          <w:tcPr>
            <w:tcW w:w="3006" w:type="dxa"/>
          </w:tcPr>
          <w:p w:rsidR="00EE4DEC" w:rsidRPr="00421A6D" w:rsidRDefault="00EE4DEC" w:rsidP="00EE4DEC">
            <w:pPr>
              <w:pStyle w:val="Normalwebb"/>
              <w:rPr>
                <w:rFonts w:asciiTheme="minorHAnsi" w:hAnsiTheme="minorHAnsi" w:cstheme="minorHAnsi"/>
              </w:rPr>
            </w:pPr>
          </w:p>
        </w:tc>
      </w:tr>
      <w:tr w:rsidR="00EE4DEC" w:rsidTr="001E5767">
        <w:tc>
          <w:tcPr>
            <w:tcW w:w="3005" w:type="dxa"/>
          </w:tcPr>
          <w:p w:rsidR="00EE4DEC" w:rsidRPr="001E5767" w:rsidRDefault="00EE4DEC" w:rsidP="00EE4DEC">
            <w:pPr>
              <w:pStyle w:val="Normalwebb"/>
              <w:rPr>
                <w:rFonts w:asciiTheme="minorHAnsi" w:hAnsiTheme="minorHAnsi" w:cstheme="minorHAnsi"/>
                <w:sz w:val="22"/>
              </w:rPr>
            </w:pPr>
            <w:r>
              <w:rPr>
                <w:rFonts w:asciiTheme="minorHAnsi" w:hAnsiTheme="minorHAnsi" w:cstheme="minorHAnsi"/>
                <w:sz w:val="22"/>
              </w:rPr>
              <w:t>1</w:t>
            </w:r>
            <w:r w:rsidRPr="001E5767">
              <w:rPr>
                <w:rFonts w:asciiTheme="minorHAnsi" w:hAnsiTheme="minorHAnsi" w:cstheme="minorHAnsi"/>
                <w:sz w:val="22"/>
              </w:rPr>
              <w:t>5</w:t>
            </w:r>
            <w:r>
              <w:rPr>
                <w:rFonts w:asciiTheme="minorHAnsi" w:hAnsiTheme="minorHAnsi" w:cstheme="minorHAnsi"/>
                <w:sz w:val="22"/>
              </w:rPr>
              <w:t>.</w:t>
            </w:r>
            <w:r w:rsidRPr="001E5767">
              <w:rPr>
                <w:rFonts w:asciiTheme="minorHAnsi" w:hAnsiTheme="minorHAnsi" w:cstheme="minorHAnsi"/>
                <w:sz w:val="22"/>
              </w:rPr>
              <w:t>0</w:t>
            </w:r>
            <w:r>
              <w:rPr>
                <w:rFonts w:asciiTheme="minorHAnsi" w:hAnsiTheme="minorHAnsi" w:cstheme="minorHAnsi"/>
                <w:sz w:val="22"/>
              </w:rPr>
              <w:t>0-16</w:t>
            </w:r>
            <w:r w:rsidRPr="001E5767">
              <w:rPr>
                <w:rFonts w:asciiTheme="minorHAnsi" w:hAnsiTheme="minorHAnsi" w:cstheme="minorHAnsi"/>
                <w:sz w:val="22"/>
              </w:rPr>
              <w:t>.</w:t>
            </w:r>
            <w:r>
              <w:rPr>
                <w:rFonts w:asciiTheme="minorHAnsi" w:hAnsiTheme="minorHAnsi" w:cstheme="minorHAnsi"/>
                <w:sz w:val="22"/>
              </w:rPr>
              <w:t>0</w:t>
            </w:r>
            <w:r w:rsidRPr="001E5767">
              <w:rPr>
                <w:rFonts w:asciiTheme="minorHAnsi" w:hAnsiTheme="minorHAnsi" w:cstheme="minorHAnsi"/>
                <w:sz w:val="22"/>
              </w:rPr>
              <w:t>0</w:t>
            </w:r>
          </w:p>
        </w:tc>
        <w:tc>
          <w:tcPr>
            <w:tcW w:w="3005" w:type="dxa"/>
          </w:tcPr>
          <w:p w:rsidR="00EE4DEC" w:rsidRPr="00421A6D" w:rsidRDefault="00EE4DEC" w:rsidP="00EE4DEC">
            <w:pPr>
              <w:pStyle w:val="Normalwebb"/>
              <w:rPr>
                <w:rFonts w:asciiTheme="minorHAnsi" w:hAnsiTheme="minorHAnsi" w:cstheme="minorHAnsi"/>
                <w:sz w:val="22"/>
              </w:rPr>
            </w:pPr>
            <w:r>
              <w:rPr>
                <w:rFonts w:asciiTheme="minorHAnsi" w:hAnsiTheme="minorHAnsi" w:cstheme="minorHAnsi"/>
                <w:sz w:val="22"/>
              </w:rPr>
              <w:t xml:space="preserve">Hur påverkar omställningen till </w:t>
            </w:r>
            <w:proofErr w:type="spellStart"/>
            <w:r w:rsidRPr="00421A6D">
              <w:rPr>
                <w:rFonts w:asciiTheme="minorHAnsi" w:hAnsiTheme="minorHAnsi" w:cstheme="minorHAnsi"/>
                <w:sz w:val="22"/>
              </w:rPr>
              <w:t>Open</w:t>
            </w:r>
            <w:proofErr w:type="spellEnd"/>
            <w:r w:rsidRPr="00421A6D">
              <w:rPr>
                <w:rFonts w:asciiTheme="minorHAnsi" w:hAnsiTheme="minorHAnsi" w:cstheme="minorHAnsi"/>
                <w:sz w:val="22"/>
              </w:rPr>
              <w:t xml:space="preserve"> Access</w:t>
            </w:r>
            <w:r>
              <w:rPr>
                <w:rFonts w:asciiTheme="minorHAnsi" w:hAnsiTheme="minorHAnsi" w:cstheme="minorHAnsi"/>
                <w:sz w:val="22"/>
              </w:rPr>
              <w:t xml:space="preserve"> våra</w:t>
            </w:r>
            <w:r w:rsidRPr="00421A6D">
              <w:rPr>
                <w:rFonts w:asciiTheme="minorHAnsi" w:hAnsiTheme="minorHAnsi" w:cstheme="minorHAnsi"/>
                <w:sz w:val="22"/>
              </w:rPr>
              <w:t xml:space="preserve"> resurstilldelningssystem och meriteringssystem</w:t>
            </w:r>
            <w:r>
              <w:rPr>
                <w:rFonts w:asciiTheme="minorHAnsi" w:hAnsiTheme="minorHAnsi" w:cstheme="minorHAnsi"/>
                <w:sz w:val="22"/>
              </w:rPr>
              <w:t>?</w:t>
            </w:r>
          </w:p>
        </w:tc>
        <w:tc>
          <w:tcPr>
            <w:tcW w:w="3006" w:type="dxa"/>
          </w:tcPr>
          <w:p w:rsidR="00EE4DEC" w:rsidRPr="00421A6D" w:rsidRDefault="00EE4DEC" w:rsidP="00EE4DEC">
            <w:pPr>
              <w:pStyle w:val="Normalwebb"/>
              <w:rPr>
                <w:rFonts w:asciiTheme="minorHAnsi" w:hAnsiTheme="minorHAnsi" w:cstheme="minorHAnsi"/>
                <w:sz w:val="22"/>
              </w:rPr>
            </w:pPr>
            <w:r w:rsidRPr="00421A6D">
              <w:rPr>
                <w:rFonts w:asciiTheme="minorHAnsi" w:hAnsiTheme="minorHAnsi" w:cstheme="minorHAnsi"/>
                <w:sz w:val="22"/>
              </w:rPr>
              <w:t>Lars Kullman, Göteborgs universitetsbibliotek</w:t>
            </w:r>
          </w:p>
          <w:p w:rsidR="00EE4DEC" w:rsidRPr="00421A6D" w:rsidRDefault="00EE4DEC" w:rsidP="00EE4DEC">
            <w:pPr>
              <w:pStyle w:val="Normalwebb"/>
              <w:rPr>
                <w:rFonts w:asciiTheme="minorHAnsi" w:hAnsiTheme="minorHAnsi" w:cstheme="minorHAnsi"/>
              </w:rPr>
            </w:pPr>
            <w:r w:rsidRPr="00421A6D">
              <w:rPr>
                <w:rFonts w:asciiTheme="minorHAnsi" w:hAnsiTheme="minorHAnsi" w:cstheme="minorHAnsi"/>
                <w:sz w:val="22"/>
              </w:rPr>
              <w:t xml:space="preserve">Mia </w:t>
            </w:r>
            <w:proofErr w:type="spellStart"/>
            <w:r w:rsidRPr="00421A6D">
              <w:rPr>
                <w:rFonts w:asciiTheme="minorHAnsi" w:hAnsiTheme="minorHAnsi" w:cstheme="minorHAnsi"/>
                <w:sz w:val="22"/>
              </w:rPr>
              <w:t>Liinason</w:t>
            </w:r>
            <w:proofErr w:type="spellEnd"/>
            <w:r w:rsidRPr="00421A6D">
              <w:rPr>
                <w:rFonts w:asciiTheme="minorHAnsi" w:hAnsiTheme="minorHAnsi" w:cstheme="minorHAnsi"/>
                <w:sz w:val="22"/>
              </w:rPr>
              <w:t>, Göteborgs universitet och Sveriges Unga Akademi</w:t>
            </w:r>
          </w:p>
        </w:tc>
      </w:tr>
      <w:tr w:rsidR="00EE4DEC" w:rsidTr="001E5767">
        <w:tc>
          <w:tcPr>
            <w:tcW w:w="3005" w:type="dxa"/>
          </w:tcPr>
          <w:p w:rsidR="00EE4DEC" w:rsidRPr="001E5767" w:rsidRDefault="00EE4DEC" w:rsidP="00EE4DEC">
            <w:pPr>
              <w:pStyle w:val="Normalwebb"/>
              <w:rPr>
                <w:rFonts w:asciiTheme="minorHAnsi" w:hAnsiTheme="minorHAnsi" w:cstheme="minorHAnsi"/>
                <w:sz w:val="22"/>
              </w:rPr>
            </w:pPr>
            <w:r>
              <w:rPr>
                <w:rFonts w:asciiTheme="minorHAnsi" w:hAnsiTheme="minorHAnsi" w:cstheme="minorHAnsi"/>
                <w:sz w:val="22"/>
              </w:rPr>
              <w:t>16.0</w:t>
            </w:r>
            <w:r w:rsidRPr="001E5767">
              <w:rPr>
                <w:rFonts w:asciiTheme="minorHAnsi" w:hAnsiTheme="minorHAnsi" w:cstheme="minorHAnsi"/>
                <w:sz w:val="22"/>
              </w:rPr>
              <w:t>0-16.30</w:t>
            </w:r>
          </w:p>
        </w:tc>
        <w:tc>
          <w:tcPr>
            <w:tcW w:w="3005" w:type="dxa"/>
          </w:tcPr>
          <w:p w:rsidR="00EE4DEC" w:rsidRPr="001E5767" w:rsidRDefault="00EE4DEC" w:rsidP="00EE4DEC">
            <w:pPr>
              <w:pStyle w:val="Normalwebb"/>
              <w:rPr>
                <w:rFonts w:asciiTheme="minorHAnsi" w:hAnsiTheme="minorHAnsi" w:cstheme="minorHAnsi"/>
                <w:sz w:val="22"/>
              </w:rPr>
            </w:pPr>
            <w:r>
              <w:rPr>
                <w:rFonts w:asciiTheme="minorHAnsi" w:hAnsiTheme="minorHAnsi" w:cstheme="minorHAnsi"/>
                <w:sz w:val="22"/>
              </w:rPr>
              <w:t>Summering (och hur går vi vidare)</w:t>
            </w:r>
          </w:p>
        </w:tc>
        <w:tc>
          <w:tcPr>
            <w:tcW w:w="3006" w:type="dxa"/>
          </w:tcPr>
          <w:p w:rsidR="00EE4DEC" w:rsidRDefault="00EE4DEC" w:rsidP="00EE4DEC">
            <w:pPr>
              <w:pStyle w:val="Normalwebb"/>
            </w:pPr>
          </w:p>
        </w:tc>
      </w:tr>
    </w:tbl>
    <w:p w:rsidR="001E5767" w:rsidRPr="008D5B9E" w:rsidRDefault="008D5B9E" w:rsidP="001E5767">
      <w:pPr>
        <w:pStyle w:val="Normalwebb"/>
        <w:rPr>
          <w:rFonts w:asciiTheme="minorHAnsi" w:hAnsiTheme="minorHAnsi" w:cstheme="minorHAnsi"/>
          <w:sz w:val="22"/>
        </w:rPr>
      </w:pPr>
      <w:r w:rsidRPr="008D5B9E">
        <w:rPr>
          <w:rFonts w:asciiTheme="minorHAnsi" w:hAnsiTheme="minorHAnsi" w:cstheme="minorHAnsi"/>
          <w:sz w:val="22"/>
          <w:szCs w:val="22"/>
        </w:rPr>
        <w:lastRenderedPageBreak/>
        <w:t>Samtalet arrangeras av Institutionen för språk och litteraturer och Institutionen för svenska språket, Göteborgs universitet, o</w:t>
      </w:r>
      <w:r>
        <w:rPr>
          <w:rFonts w:asciiTheme="minorHAnsi" w:hAnsiTheme="minorHAnsi" w:cstheme="minorHAnsi"/>
          <w:sz w:val="22"/>
        </w:rPr>
        <w:t xml:space="preserve">ch är en del av den GU-gemensamma seminarieserien Det akademiska skrivandets politiska ekonomi: </w:t>
      </w:r>
      <w:hyperlink r:id="rId5" w:history="1">
        <w:r w:rsidRPr="008D5B9E">
          <w:rPr>
            <w:rStyle w:val="Hyperlnk"/>
            <w:rFonts w:asciiTheme="minorHAnsi" w:hAnsiTheme="minorHAnsi" w:cstheme="minorHAnsi"/>
            <w:sz w:val="22"/>
          </w:rPr>
          <w:t>https://sprak.gu.se/forskning/forskningsomraden/sprak-i-samhallskontext/det-akademiska-skrivandets-politiska-ekonomi</w:t>
        </w:r>
      </w:hyperlink>
    </w:p>
    <w:p w:rsidR="001E5767" w:rsidRDefault="008D5B9E" w:rsidP="001E5767">
      <w:pPr>
        <w:pStyle w:val="Normalwebb"/>
        <w:rPr>
          <w:rFonts w:asciiTheme="minorHAnsi" w:hAnsiTheme="minorHAnsi" w:cstheme="minorHAnsi"/>
          <w:sz w:val="22"/>
        </w:rPr>
      </w:pPr>
      <w:r w:rsidRPr="008D5B9E">
        <w:rPr>
          <w:rFonts w:asciiTheme="minorHAnsi" w:hAnsiTheme="minorHAnsi" w:cstheme="minorHAnsi"/>
          <w:sz w:val="22"/>
        </w:rPr>
        <w:t>Moderatorer och kontaktpersoner: Johan Järlehed (johan.jarlehed@sprak.gu.se) och Susanna Karlsson (</w:t>
      </w:r>
      <w:hyperlink r:id="rId6" w:history="1">
        <w:r w:rsidR="00EE4DEC" w:rsidRPr="006F4176">
          <w:rPr>
            <w:rStyle w:val="Hyperlnk"/>
            <w:rFonts w:asciiTheme="minorHAnsi" w:hAnsiTheme="minorHAnsi" w:cstheme="minorHAnsi"/>
            <w:sz w:val="22"/>
          </w:rPr>
          <w:t>susanna.karlsson@svenska.gu.se</w:t>
        </w:r>
      </w:hyperlink>
      <w:r w:rsidRPr="008D5B9E">
        <w:rPr>
          <w:rFonts w:asciiTheme="minorHAnsi" w:hAnsiTheme="minorHAnsi" w:cstheme="minorHAnsi"/>
          <w:sz w:val="22"/>
        </w:rPr>
        <w:t>)</w:t>
      </w:r>
    </w:p>
    <w:p w:rsidR="0028338C" w:rsidRDefault="0028338C" w:rsidP="0028338C">
      <w:pPr>
        <w:pStyle w:val="Normalwebb"/>
        <w:rPr>
          <w:rFonts w:asciiTheme="minorHAnsi" w:hAnsiTheme="minorHAnsi" w:cstheme="minorHAnsi"/>
          <w:sz w:val="22"/>
          <w:u w:val="single"/>
        </w:rPr>
      </w:pPr>
      <w:r w:rsidRPr="0028338C">
        <w:rPr>
          <w:rFonts w:asciiTheme="minorHAnsi" w:hAnsiTheme="minorHAnsi" w:cstheme="minorHAnsi"/>
          <w:sz w:val="22"/>
          <w:u w:val="single"/>
        </w:rPr>
        <w:t xml:space="preserve">Engelska – akademins </w:t>
      </w:r>
      <w:proofErr w:type="spellStart"/>
      <w:r w:rsidRPr="0028338C">
        <w:rPr>
          <w:rFonts w:asciiTheme="minorHAnsi" w:hAnsiTheme="minorHAnsi" w:cstheme="minorHAnsi"/>
          <w:i/>
          <w:sz w:val="22"/>
          <w:u w:val="single"/>
        </w:rPr>
        <w:t>lingua</w:t>
      </w:r>
      <w:proofErr w:type="spellEnd"/>
      <w:r w:rsidRPr="0028338C">
        <w:rPr>
          <w:rFonts w:asciiTheme="minorHAnsi" w:hAnsiTheme="minorHAnsi" w:cstheme="minorHAnsi"/>
          <w:i/>
          <w:sz w:val="22"/>
          <w:u w:val="single"/>
        </w:rPr>
        <w:t xml:space="preserve"> </w:t>
      </w:r>
      <w:proofErr w:type="spellStart"/>
      <w:r w:rsidRPr="0028338C">
        <w:rPr>
          <w:rFonts w:asciiTheme="minorHAnsi" w:hAnsiTheme="minorHAnsi" w:cstheme="minorHAnsi"/>
          <w:i/>
          <w:sz w:val="22"/>
          <w:u w:val="single"/>
        </w:rPr>
        <w:t>franca</w:t>
      </w:r>
      <w:proofErr w:type="spellEnd"/>
      <w:r w:rsidRPr="0028338C">
        <w:rPr>
          <w:rFonts w:asciiTheme="minorHAnsi" w:hAnsiTheme="minorHAnsi" w:cstheme="minorHAnsi"/>
          <w:sz w:val="22"/>
          <w:u w:val="single"/>
        </w:rPr>
        <w:t>?</w:t>
      </w:r>
    </w:p>
    <w:p w:rsidR="0028338C" w:rsidRPr="007067D0" w:rsidRDefault="0028338C" w:rsidP="0028338C">
      <w:pPr>
        <w:pStyle w:val="Normalwebb"/>
        <w:rPr>
          <w:rFonts w:asciiTheme="minorHAnsi" w:hAnsiTheme="minorHAnsi" w:cstheme="minorHAnsi"/>
          <w:b/>
          <w:sz w:val="22"/>
        </w:rPr>
      </w:pPr>
      <w:r w:rsidRPr="007067D0">
        <w:rPr>
          <w:rFonts w:asciiTheme="minorHAnsi" w:hAnsiTheme="minorHAnsi" w:cstheme="minorHAnsi"/>
          <w:b/>
          <w:sz w:val="22"/>
        </w:rPr>
        <w:t xml:space="preserve">Linus </w:t>
      </w:r>
      <w:proofErr w:type="spellStart"/>
      <w:r w:rsidRPr="007067D0">
        <w:rPr>
          <w:rFonts w:asciiTheme="minorHAnsi" w:hAnsiTheme="minorHAnsi" w:cstheme="minorHAnsi"/>
          <w:b/>
          <w:sz w:val="22"/>
        </w:rPr>
        <w:t>Salö</w:t>
      </w:r>
      <w:proofErr w:type="spellEnd"/>
    </w:p>
    <w:p w:rsidR="0028338C" w:rsidRPr="007067D0" w:rsidRDefault="0028338C" w:rsidP="0028338C">
      <w:pPr>
        <w:pStyle w:val="Normalwebb"/>
        <w:rPr>
          <w:rFonts w:asciiTheme="minorHAnsi" w:hAnsiTheme="minorHAnsi" w:cstheme="minorHAnsi"/>
          <w:sz w:val="22"/>
        </w:rPr>
      </w:pPr>
      <w:r w:rsidRPr="007067D0">
        <w:rPr>
          <w:rFonts w:asciiTheme="minorHAnsi" w:hAnsiTheme="minorHAnsi" w:cstheme="minorHAnsi"/>
          <w:sz w:val="22"/>
        </w:rPr>
        <w:t xml:space="preserve">I diverse forskningspolitiska sammanhang ses engelska mer och mer som ett slags </w:t>
      </w:r>
      <w:proofErr w:type="spellStart"/>
      <w:r w:rsidRPr="007067D0">
        <w:rPr>
          <w:rFonts w:asciiTheme="minorHAnsi" w:hAnsiTheme="minorHAnsi" w:cstheme="minorHAnsi"/>
          <w:sz w:val="22"/>
        </w:rPr>
        <w:t>proxy</w:t>
      </w:r>
      <w:proofErr w:type="spellEnd"/>
      <w:r w:rsidRPr="007067D0">
        <w:rPr>
          <w:rFonts w:asciiTheme="minorHAnsi" w:hAnsiTheme="minorHAnsi" w:cstheme="minorHAnsi"/>
          <w:sz w:val="22"/>
        </w:rPr>
        <w:t xml:space="preserve"> för ’det internationella’ och därmed som en indikator för hög vetenskaplig kvalitet. Mot denna bakgrund ska jag anlägga några historiska och jämförande perspektiv på publiceringsspråk som medel och insats i nygamla stridigheter om vetenskapligt erkännande, akademiska karriärer med mera, för att därigenom bättre begripliggöra både allmän förändring och disciplinära skillnader därvidlag. Jag ska också göra ett försök att koppla dessa frågor till ett pågående projekt om universitetens betydelsefullhet – </w:t>
      </w:r>
      <w:proofErr w:type="spellStart"/>
      <w:r w:rsidRPr="007067D0">
        <w:rPr>
          <w:rFonts w:asciiTheme="minorHAnsi" w:hAnsiTheme="minorHAnsi" w:cstheme="minorHAnsi"/>
          <w:sz w:val="22"/>
        </w:rPr>
        <w:t>Making</w:t>
      </w:r>
      <w:proofErr w:type="spellEnd"/>
      <w:r w:rsidRPr="007067D0">
        <w:rPr>
          <w:rFonts w:asciiTheme="minorHAnsi" w:hAnsiTheme="minorHAnsi" w:cstheme="minorHAnsi"/>
          <w:sz w:val="22"/>
        </w:rPr>
        <w:t xml:space="preserve"> </w:t>
      </w:r>
      <w:proofErr w:type="spellStart"/>
      <w:r w:rsidRPr="007067D0">
        <w:rPr>
          <w:rFonts w:asciiTheme="minorHAnsi" w:hAnsiTheme="minorHAnsi" w:cstheme="minorHAnsi"/>
          <w:sz w:val="22"/>
        </w:rPr>
        <w:t>Universities</w:t>
      </w:r>
      <w:proofErr w:type="spellEnd"/>
      <w:r w:rsidRPr="007067D0">
        <w:rPr>
          <w:rFonts w:asciiTheme="minorHAnsi" w:hAnsiTheme="minorHAnsi" w:cstheme="minorHAnsi"/>
          <w:sz w:val="22"/>
        </w:rPr>
        <w:t xml:space="preserve"> </w:t>
      </w:r>
      <w:proofErr w:type="spellStart"/>
      <w:r w:rsidRPr="007067D0">
        <w:rPr>
          <w:rFonts w:asciiTheme="minorHAnsi" w:hAnsiTheme="minorHAnsi" w:cstheme="minorHAnsi"/>
          <w:sz w:val="22"/>
        </w:rPr>
        <w:t>Matter</w:t>
      </w:r>
      <w:proofErr w:type="spellEnd"/>
      <w:r w:rsidRPr="007067D0">
        <w:rPr>
          <w:rFonts w:asciiTheme="minorHAnsi" w:hAnsiTheme="minorHAnsi" w:cstheme="minorHAnsi"/>
          <w:sz w:val="22"/>
        </w:rPr>
        <w:t xml:space="preserve"> – som mer övergripande handlar om hur den kunskap vi producerar kommer till användning i samhället.</w:t>
      </w:r>
    </w:p>
    <w:p w:rsidR="0028338C" w:rsidRPr="0028338C" w:rsidRDefault="0028338C" w:rsidP="0028338C">
      <w:pPr>
        <w:pStyle w:val="Normalwebb"/>
        <w:rPr>
          <w:rFonts w:asciiTheme="minorHAnsi" w:hAnsiTheme="minorHAnsi" w:cstheme="minorHAnsi"/>
          <w:sz w:val="22"/>
          <w:u w:val="single"/>
        </w:rPr>
      </w:pPr>
      <w:r w:rsidRPr="0028338C">
        <w:rPr>
          <w:rFonts w:asciiTheme="minorHAnsi" w:hAnsiTheme="minorHAnsi" w:cstheme="minorHAnsi"/>
          <w:sz w:val="22"/>
          <w:u w:val="single"/>
        </w:rPr>
        <w:t>Skriver vi för att läsas eller synas?</w:t>
      </w:r>
    </w:p>
    <w:p w:rsidR="00EE4DEC" w:rsidRPr="00D92DB7" w:rsidRDefault="00D92DB7" w:rsidP="001E5767">
      <w:pPr>
        <w:pStyle w:val="Normalwebb"/>
        <w:rPr>
          <w:rFonts w:asciiTheme="minorHAnsi" w:hAnsiTheme="minorHAnsi" w:cstheme="minorHAnsi"/>
          <w:b/>
          <w:sz w:val="22"/>
        </w:rPr>
      </w:pPr>
      <w:r w:rsidRPr="00D92DB7">
        <w:rPr>
          <w:rFonts w:asciiTheme="minorHAnsi" w:hAnsiTheme="minorHAnsi" w:cstheme="minorHAnsi"/>
          <w:b/>
          <w:sz w:val="22"/>
        </w:rPr>
        <w:t xml:space="preserve">Björn </w:t>
      </w:r>
      <w:proofErr w:type="spellStart"/>
      <w:r w:rsidRPr="00D92DB7">
        <w:rPr>
          <w:rFonts w:asciiTheme="minorHAnsi" w:hAnsiTheme="minorHAnsi" w:cstheme="minorHAnsi"/>
          <w:b/>
          <w:sz w:val="22"/>
        </w:rPr>
        <w:t>Hammarfeldt</w:t>
      </w:r>
      <w:proofErr w:type="spellEnd"/>
    </w:p>
    <w:p w:rsidR="00D92DB7" w:rsidRPr="00D92DB7" w:rsidRDefault="00D92DB7" w:rsidP="00D92DB7">
      <w:pPr>
        <w:rPr>
          <w:i/>
        </w:rPr>
      </w:pPr>
      <w:r w:rsidRPr="00D92DB7">
        <w:rPr>
          <w:bCs/>
          <w:i/>
        </w:rPr>
        <w:t>Den utvärdera(n)de forskaren: Kvantifiering och utvärderingspraktiker inom akademin</w:t>
      </w:r>
    </w:p>
    <w:p w:rsidR="00D92DB7" w:rsidRDefault="00D92DB7" w:rsidP="00D92DB7">
      <w:proofErr w:type="spellStart"/>
      <w:r>
        <w:t>Bibliometriska</w:t>
      </w:r>
      <w:proofErr w:type="spellEnd"/>
      <w:r>
        <w:t xml:space="preserve"> mått genomsyrar den samtida akademin och användningen sträcker sig från globala rankingar av universitet till utvärderingar av individuella forskare.  Utvärderingens effekter har studerats sedan det tidiga 1990-talet, men den roll forskarna själva har i introducerandet och användandet av indikatorer har inte uppmärksammats förrän nyligen. Min presentation kommer att fokusera på hur </w:t>
      </w:r>
      <w:proofErr w:type="spellStart"/>
      <w:r>
        <w:t>bibliometriska</w:t>
      </w:r>
      <w:proofErr w:type="spellEnd"/>
      <w:r>
        <w:t xml:space="preserve"> mått har kommit att bli en integrerad del av många forskares vardag, och hur detta kan komma att påverka kunskapsproduktionen.</w:t>
      </w:r>
    </w:p>
    <w:p w:rsidR="0028338C" w:rsidRPr="0028338C" w:rsidRDefault="0028338C" w:rsidP="0028338C">
      <w:pPr>
        <w:pStyle w:val="Normalwebb"/>
        <w:rPr>
          <w:rFonts w:asciiTheme="minorHAnsi" w:hAnsiTheme="minorHAnsi" w:cstheme="minorHAnsi"/>
          <w:sz w:val="22"/>
          <w:u w:val="single"/>
        </w:rPr>
      </w:pPr>
      <w:r w:rsidRPr="0028338C">
        <w:rPr>
          <w:rFonts w:asciiTheme="minorHAnsi" w:hAnsiTheme="minorHAnsi" w:cstheme="minorHAnsi"/>
          <w:sz w:val="22"/>
          <w:u w:val="single"/>
        </w:rPr>
        <w:t>Vad händer när vi mäter akademisk framgång?</w:t>
      </w:r>
    </w:p>
    <w:p w:rsidR="00EE4DEC" w:rsidRPr="00EE4DEC" w:rsidRDefault="002B6655" w:rsidP="001E5767">
      <w:pPr>
        <w:pStyle w:val="Normalwebb"/>
        <w:rPr>
          <w:rFonts w:asciiTheme="minorHAnsi" w:hAnsiTheme="minorHAnsi" w:cstheme="minorHAnsi"/>
          <w:b/>
          <w:sz w:val="22"/>
        </w:rPr>
      </w:pPr>
      <w:r>
        <w:rPr>
          <w:rFonts w:asciiTheme="minorHAnsi" w:hAnsiTheme="minorHAnsi" w:cstheme="minorHAnsi"/>
          <w:b/>
          <w:sz w:val="22"/>
        </w:rPr>
        <w:t>Eva Schwar</w:t>
      </w:r>
      <w:bookmarkStart w:id="0" w:name="_GoBack"/>
      <w:bookmarkEnd w:id="0"/>
      <w:r w:rsidR="00EE4DEC" w:rsidRPr="00EE4DEC">
        <w:rPr>
          <w:rFonts w:asciiTheme="minorHAnsi" w:hAnsiTheme="minorHAnsi" w:cstheme="minorHAnsi"/>
          <w:b/>
          <w:sz w:val="22"/>
        </w:rPr>
        <w:t>z</w:t>
      </w:r>
    </w:p>
    <w:p w:rsidR="00EE4DEC" w:rsidRPr="00D92DB7" w:rsidRDefault="00EE4DEC" w:rsidP="00EE4DEC">
      <w:pPr>
        <w:pStyle w:val="Normalwebb"/>
        <w:rPr>
          <w:rFonts w:ascii="Calibri" w:hAnsi="Calibri" w:cs="Calibri"/>
          <w:i/>
          <w:color w:val="000000"/>
          <w:sz w:val="22"/>
          <w:szCs w:val="22"/>
        </w:rPr>
      </w:pPr>
      <w:r w:rsidRPr="00D92DB7">
        <w:rPr>
          <w:rFonts w:ascii="Calibri" w:hAnsi="Calibri" w:cs="Calibri"/>
          <w:i/>
          <w:color w:val="000000"/>
          <w:sz w:val="22"/>
          <w:szCs w:val="22"/>
        </w:rPr>
        <w:t>Mellan begrepp och liv: Hur mycket får kunskapssubjekten visar sig i en akademisk text? Vilken roll spelar essäskrivandet i ett vetenskapligt sammanhang? </w:t>
      </w:r>
    </w:p>
    <w:p w:rsidR="00EE4DEC" w:rsidRPr="00EE4DEC" w:rsidRDefault="00EE4DEC" w:rsidP="00EE4DEC">
      <w:pPr>
        <w:pStyle w:val="Normalwebb"/>
        <w:rPr>
          <w:rFonts w:ascii="Calibri" w:hAnsi="Calibri" w:cs="Calibri"/>
          <w:color w:val="000000"/>
          <w:sz w:val="22"/>
          <w:szCs w:val="22"/>
        </w:rPr>
      </w:pPr>
      <w:r w:rsidRPr="00EE4DEC">
        <w:rPr>
          <w:rFonts w:ascii="Calibri" w:hAnsi="Calibri" w:cs="Calibri"/>
          <w:color w:val="000000"/>
          <w:sz w:val="22"/>
          <w:szCs w:val="22"/>
        </w:rPr>
        <w:t xml:space="preserve">Jag ska koppla frågan till mina erfarenheter </w:t>
      </w:r>
      <w:r>
        <w:rPr>
          <w:rFonts w:ascii="Calibri" w:hAnsi="Calibri" w:cs="Calibri"/>
          <w:color w:val="000000"/>
          <w:sz w:val="22"/>
          <w:szCs w:val="22"/>
        </w:rPr>
        <w:t xml:space="preserve">med </w:t>
      </w:r>
      <w:r w:rsidRPr="00EE4DEC">
        <w:rPr>
          <w:rFonts w:ascii="Calibri" w:hAnsi="Calibri" w:cs="Calibri"/>
          <w:color w:val="000000"/>
          <w:sz w:val="22"/>
          <w:szCs w:val="22"/>
        </w:rPr>
        <w:t>att hjälpa yrkespraktiker att skriva veten</w:t>
      </w:r>
      <w:r>
        <w:rPr>
          <w:rFonts w:ascii="Calibri" w:hAnsi="Calibri" w:cs="Calibri"/>
          <w:color w:val="000000"/>
          <w:sz w:val="22"/>
          <w:szCs w:val="22"/>
        </w:rPr>
        <w:t>s</w:t>
      </w:r>
      <w:r w:rsidRPr="00EE4DEC">
        <w:rPr>
          <w:rFonts w:ascii="Calibri" w:hAnsi="Calibri" w:cs="Calibri"/>
          <w:color w:val="000000"/>
          <w:sz w:val="22"/>
          <w:szCs w:val="22"/>
        </w:rPr>
        <w:t>ka</w:t>
      </w:r>
      <w:r>
        <w:rPr>
          <w:rFonts w:ascii="Calibri" w:hAnsi="Calibri" w:cs="Calibri"/>
          <w:color w:val="000000"/>
          <w:sz w:val="22"/>
          <w:szCs w:val="22"/>
        </w:rPr>
        <w:t>p</w:t>
      </w:r>
      <w:r w:rsidRPr="00EE4DEC">
        <w:rPr>
          <w:rFonts w:ascii="Calibri" w:hAnsi="Calibri" w:cs="Calibri"/>
          <w:color w:val="000000"/>
          <w:sz w:val="22"/>
          <w:szCs w:val="22"/>
        </w:rPr>
        <w:t>liga essäer med utgångspunkt i det egna handlande</w:t>
      </w:r>
      <w:r>
        <w:rPr>
          <w:rFonts w:ascii="Calibri" w:hAnsi="Calibri" w:cs="Calibri"/>
          <w:color w:val="000000"/>
          <w:sz w:val="22"/>
          <w:szCs w:val="22"/>
        </w:rPr>
        <w:t>t</w:t>
      </w:r>
      <w:r w:rsidRPr="00EE4DEC">
        <w:rPr>
          <w:rFonts w:ascii="Calibri" w:hAnsi="Calibri" w:cs="Calibri"/>
          <w:color w:val="000000"/>
          <w:sz w:val="22"/>
          <w:szCs w:val="22"/>
        </w:rPr>
        <w:t xml:space="preserve">, men också </w:t>
      </w:r>
      <w:r>
        <w:rPr>
          <w:rFonts w:ascii="Calibri" w:hAnsi="Calibri" w:cs="Calibri"/>
          <w:color w:val="000000"/>
          <w:sz w:val="22"/>
          <w:szCs w:val="22"/>
        </w:rPr>
        <w:t>t</w:t>
      </w:r>
      <w:r w:rsidRPr="00EE4DEC">
        <w:rPr>
          <w:rFonts w:ascii="Calibri" w:hAnsi="Calibri" w:cs="Calibri"/>
          <w:color w:val="000000"/>
          <w:sz w:val="22"/>
          <w:szCs w:val="22"/>
        </w:rPr>
        <w:t>i</w:t>
      </w:r>
      <w:r>
        <w:rPr>
          <w:rFonts w:ascii="Calibri" w:hAnsi="Calibri" w:cs="Calibri"/>
          <w:color w:val="000000"/>
          <w:sz w:val="22"/>
          <w:szCs w:val="22"/>
        </w:rPr>
        <w:t>ll</w:t>
      </w:r>
      <w:r w:rsidRPr="00EE4DEC">
        <w:rPr>
          <w:rFonts w:ascii="Calibri" w:hAnsi="Calibri" w:cs="Calibri"/>
          <w:color w:val="000000"/>
          <w:sz w:val="22"/>
          <w:szCs w:val="22"/>
        </w:rPr>
        <w:t xml:space="preserve"> mina egna erfarenheter med att hitta ett sätt att skriva som å ena sidan ger "poäng" i det akademiska systemet och som </w:t>
      </w:r>
      <w:r>
        <w:rPr>
          <w:rFonts w:ascii="Calibri" w:hAnsi="Calibri" w:cs="Calibri"/>
          <w:color w:val="000000"/>
          <w:sz w:val="22"/>
          <w:szCs w:val="22"/>
        </w:rPr>
        <w:t>å andra sidan är</w:t>
      </w:r>
      <w:r w:rsidRPr="00EE4DEC">
        <w:rPr>
          <w:rFonts w:ascii="Calibri" w:hAnsi="Calibri" w:cs="Calibri"/>
          <w:color w:val="000000"/>
          <w:sz w:val="22"/>
          <w:szCs w:val="22"/>
        </w:rPr>
        <w:t xml:space="preserve"> så som jag vill skriva, som jag tycker är roligt och gör att jag kan kommunicera med det (praxis)fält jag skriver om.</w:t>
      </w:r>
    </w:p>
    <w:p w:rsidR="0028338C" w:rsidRPr="0028338C" w:rsidRDefault="0028338C" w:rsidP="0028338C">
      <w:pPr>
        <w:pStyle w:val="Normalwebb"/>
        <w:rPr>
          <w:rFonts w:asciiTheme="minorHAnsi" w:hAnsiTheme="minorHAnsi" w:cstheme="minorHAnsi"/>
          <w:sz w:val="22"/>
          <w:u w:val="single"/>
        </w:rPr>
      </w:pPr>
      <w:r w:rsidRPr="0028338C">
        <w:rPr>
          <w:rFonts w:asciiTheme="minorHAnsi" w:hAnsiTheme="minorHAnsi" w:cstheme="minorHAnsi"/>
          <w:sz w:val="22"/>
          <w:u w:val="single"/>
        </w:rPr>
        <w:t xml:space="preserve">Hur påverkar omställningen till </w:t>
      </w:r>
      <w:proofErr w:type="spellStart"/>
      <w:r w:rsidRPr="0028338C">
        <w:rPr>
          <w:rFonts w:asciiTheme="minorHAnsi" w:hAnsiTheme="minorHAnsi" w:cstheme="minorHAnsi"/>
          <w:sz w:val="22"/>
          <w:u w:val="single"/>
        </w:rPr>
        <w:t>Open</w:t>
      </w:r>
      <w:proofErr w:type="spellEnd"/>
      <w:r w:rsidRPr="0028338C">
        <w:rPr>
          <w:rFonts w:asciiTheme="minorHAnsi" w:hAnsiTheme="minorHAnsi" w:cstheme="minorHAnsi"/>
          <w:sz w:val="22"/>
          <w:u w:val="single"/>
        </w:rPr>
        <w:t xml:space="preserve"> Access våra resurstilldelningssystem och meriteringssystem?</w:t>
      </w:r>
    </w:p>
    <w:p w:rsidR="0015631F" w:rsidRPr="0015631F" w:rsidRDefault="0015631F" w:rsidP="001E5767">
      <w:pPr>
        <w:pStyle w:val="Normalwebb"/>
        <w:rPr>
          <w:rFonts w:asciiTheme="minorHAnsi" w:hAnsiTheme="minorHAnsi" w:cstheme="minorHAnsi"/>
          <w:b/>
          <w:sz w:val="22"/>
        </w:rPr>
      </w:pPr>
      <w:r w:rsidRPr="0015631F">
        <w:rPr>
          <w:rFonts w:asciiTheme="minorHAnsi" w:hAnsiTheme="minorHAnsi" w:cstheme="minorHAnsi"/>
          <w:b/>
          <w:sz w:val="22"/>
        </w:rPr>
        <w:t>Lars Kullman</w:t>
      </w:r>
    </w:p>
    <w:p w:rsidR="0015631F" w:rsidRDefault="0015631F" w:rsidP="0015631F">
      <w:pPr>
        <w:pStyle w:val="Normalwebb"/>
        <w:rPr>
          <w:rFonts w:asciiTheme="minorHAnsi" w:hAnsiTheme="minorHAnsi" w:cstheme="minorHAnsi"/>
          <w:sz w:val="22"/>
        </w:rPr>
      </w:pPr>
      <w:r w:rsidRPr="0015631F">
        <w:rPr>
          <w:rFonts w:asciiTheme="minorHAnsi" w:hAnsiTheme="minorHAnsi" w:cstheme="minorHAnsi"/>
          <w:sz w:val="22"/>
        </w:rPr>
        <w:lastRenderedPageBreak/>
        <w:t xml:space="preserve">Varför publiceras inte ens hälften av GU:s publikationer som </w:t>
      </w:r>
      <w:proofErr w:type="spellStart"/>
      <w:r w:rsidRPr="0015631F">
        <w:rPr>
          <w:rFonts w:asciiTheme="minorHAnsi" w:hAnsiTheme="minorHAnsi" w:cstheme="minorHAnsi"/>
          <w:sz w:val="22"/>
        </w:rPr>
        <w:t>Open</w:t>
      </w:r>
      <w:proofErr w:type="spellEnd"/>
      <w:r w:rsidRPr="0015631F">
        <w:rPr>
          <w:rFonts w:asciiTheme="minorHAnsi" w:hAnsiTheme="minorHAnsi" w:cstheme="minorHAnsi"/>
          <w:sz w:val="22"/>
        </w:rPr>
        <w:t xml:space="preserve"> Access när alla verkar tycka att fri tillgång till forskning är en viktig princip? Styr prestationsindikatorer inte bara anslag utan även forskningens inriktning och forskarnas beteenden? Vad är korrelation och vad är kausalitet? Och intresserar sig </w:t>
      </w:r>
      <w:proofErr w:type="spellStart"/>
      <w:r w:rsidRPr="0015631F">
        <w:rPr>
          <w:rFonts w:asciiTheme="minorHAnsi" w:hAnsiTheme="minorHAnsi" w:cstheme="minorHAnsi"/>
          <w:sz w:val="22"/>
        </w:rPr>
        <w:t>bibliometriker</w:t>
      </w:r>
      <w:proofErr w:type="spellEnd"/>
      <w:r w:rsidRPr="0015631F">
        <w:rPr>
          <w:rFonts w:asciiTheme="minorHAnsi" w:hAnsiTheme="minorHAnsi" w:cstheme="minorHAnsi"/>
          <w:sz w:val="22"/>
        </w:rPr>
        <w:t xml:space="preserve"> överhuvudtaget för frågan?</w:t>
      </w:r>
    </w:p>
    <w:p w:rsidR="0028338C" w:rsidRPr="0028338C" w:rsidRDefault="0028338C" w:rsidP="0015631F">
      <w:pPr>
        <w:pStyle w:val="Normalwebb"/>
        <w:rPr>
          <w:rFonts w:asciiTheme="minorHAnsi" w:hAnsiTheme="minorHAnsi" w:cstheme="minorHAnsi"/>
          <w:b/>
          <w:sz w:val="22"/>
        </w:rPr>
      </w:pPr>
      <w:r w:rsidRPr="0028338C">
        <w:rPr>
          <w:rFonts w:asciiTheme="minorHAnsi" w:hAnsiTheme="minorHAnsi" w:cstheme="minorHAnsi"/>
          <w:b/>
          <w:sz w:val="22"/>
        </w:rPr>
        <w:t xml:space="preserve">Mia </w:t>
      </w:r>
      <w:proofErr w:type="spellStart"/>
      <w:r w:rsidRPr="0028338C">
        <w:rPr>
          <w:rFonts w:asciiTheme="minorHAnsi" w:hAnsiTheme="minorHAnsi" w:cstheme="minorHAnsi"/>
          <w:b/>
          <w:sz w:val="22"/>
        </w:rPr>
        <w:t>Liinason</w:t>
      </w:r>
      <w:proofErr w:type="spellEnd"/>
    </w:p>
    <w:p w:rsidR="0028338C" w:rsidRPr="0028338C" w:rsidRDefault="0028338C" w:rsidP="0028338C">
      <w:pPr>
        <w:pStyle w:val="Normalwebb"/>
        <w:rPr>
          <w:rFonts w:asciiTheme="minorHAnsi" w:hAnsiTheme="minorHAnsi" w:cstheme="minorHAnsi"/>
          <w:sz w:val="22"/>
        </w:rPr>
      </w:pPr>
      <w:r w:rsidRPr="0028338C">
        <w:rPr>
          <w:rFonts w:asciiTheme="minorHAnsi" w:hAnsiTheme="minorHAnsi" w:cstheme="minorHAnsi"/>
          <w:sz w:val="22"/>
        </w:rPr>
        <w:t xml:space="preserve">Med utgångspunkt i uppfattningen att det är viktigt att forskningsresultat görs tillgängliga och publiceras öppet vill jag lyfta några frågor och dilemman i samband med de pågående diskussionerna bland regeringar och forskningsfinansiärer om hanteringen av </w:t>
      </w:r>
      <w:proofErr w:type="spellStart"/>
      <w:r w:rsidRPr="0028338C">
        <w:rPr>
          <w:rFonts w:asciiTheme="minorHAnsi" w:hAnsiTheme="minorHAnsi" w:cstheme="minorHAnsi"/>
          <w:sz w:val="22"/>
        </w:rPr>
        <w:t>open</w:t>
      </w:r>
      <w:proofErr w:type="spellEnd"/>
      <w:r w:rsidRPr="0028338C">
        <w:rPr>
          <w:rFonts w:asciiTheme="minorHAnsi" w:hAnsiTheme="minorHAnsi" w:cstheme="minorHAnsi"/>
          <w:sz w:val="22"/>
        </w:rPr>
        <w:t xml:space="preserve"> access. Tonvikten kommer att ligga på unga forskares villkor i sammanhanget. Jag vill också gärna diskutera vad öppen tillgång innebär för vetenskapliga discipliner som oftare publicerar sig i form av monografier än artiklar i vetenskapliga tidskrifter.  </w:t>
      </w:r>
    </w:p>
    <w:p w:rsidR="0028338C" w:rsidRPr="0015631F" w:rsidRDefault="0028338C" w:rsidP="0015631F">
      <w:pPr>
        <w:pStyle w:val="Normalwebb"/>
        <w:rPr>
          <w:rFonts w:asciiTheme="minorHAnsi" w:hAnsiTheme="minorHAnsi" w:cstheme="minorHAnsi"/>
          <w:sz w:val="22"/>
        </w:rPr>
      </w:pPr>
    </w:p>
    <w:p w:rsidR="00EE4DEC" w:rsidRDefault="00EE4DEC" w:rsidP="001E5767">
      <w:pPr>
        <w:pStyle w:val="Normalwebb"/>
      </w:pPr>
    </w:p>
    <w:p w:rsidR="00EE4DEC" w:rsidRDefault="00EE4DEC" w:rsidP="001E5767">
      <w:pPr>
        <w:pStyle w:val="Normalwebb"/>
      </w:pPr>
    </w:p>
    <w:p w:rsidR="00EE4DEC" w:rsidRDefault="00EE4DEC" w:rsidP="001E5767">
      <w:pPr>
        <w:pStyle w:val="Normalwebb"/>
      </w:pPr>
    </w:p>
    <w:sectPr w:rsidR="00EE4D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F967EF"/>
    <w:multiLevelType w:val="hybridMultilevel"/>
    <w:tmpl w:val="2820DB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767"/>
    <w:rsid w:val="0015631F"/>
    <w:rsid w:val="001B4C61"/>
    <w:rsid w:val="001E5767"/>
    <w:rsid w:val="002701CB"/>
    <w:rsid w:val="00281F0F"/>
    <w:rsid w:val="0028338C"/>
    <w:rsid w:val="002B6655"/>
    <w:rsid w:val="0032206C"/>
    <w:rsid w:val="00421A6D"/>
    <w:rsid w:val="004406FC"/>
    <w:rsid w:val="00454546"/>
    <w:rsid w:val="00600516"/>
    <w:rsid w:val="006542E7"/>
    <w:rsid w:val="007067D0"/>
    <w:rsid w:val="0071726E"/>
    <w:rsid w:val="008D5B9E"/>
    <w:rsid w:val="00AB0FF6"/>
    <w:rsid w:val="00B32DB2"/>
    <w:rsid w:val="00CC2E2E"/>
    <w:rsid w:val="00D92DB7"/>
    <w:rsid w:val="00EE4D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9E407"/>
  <w15:chartTrackingRefBased/>
  <w15:docId w15:val="{E4ABF758-605B-452E-A8C9-A001EC37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76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E5767"/>
    <w:rPr>
      <w:color w:val="0563C1"/>
      <w:u w:val="single"/>
    </w:rPr>
  </w:style>
  <w:style w:type="paragraph" w:styleId="Normalwebb">
    <w:name w:val="Normal (Web)"/>
    <w:basedOn w:val="Normal"/>
    <w:uiPriority w:val="99"/>
    <w:unhideWhenUsed/>
    <w:rsid w:val="001E576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ingress">
    <w:name w:val="ingress"/>
    <w:basedOn w:val="Standardstycketeckensnitt"/>
    <w:rsid w:val="001E5767"/>
  </w:style>
  <w:style w:type="paragraph" w:styleId="Liststycke">
    <w:name w:val="List Paragraph"/>
    <w:basedOn w:val="Normal"/>
    <w:uiPriority w:val="34"/>
    <w:qFormat/>
    <w:rsid w:val="001E5767"/>
    <w:pPr>
      <w:ind w:left="720"/>
      <w:contextualSpacing/>
    </w:pPr>
  </w:style>
  <w:style w:type="character" w:customStyle="1" w:styleId="apple-converted-space">
    <w:name w:val="apple-converted-space"/>
    <w:basedOn w:val="Standardstycketeckensnitt"/>
    <w:rsid w:val="001E5767"/>
  </w:style>
  <w:style w:type="table" w:styleId="Tabellrutnt">
    <w:name w:val="Table Grid"/>
    <w:basedOn w:val="Normaltabell"/>
    <w:uiPriority w:val="39"/>
    <w:rsid w:val="001E5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025341">
      <w:bodyDiv w:val="1"/>
      <w:marLeft w:val="0"/>
      <w:marRight w:val="0"/>
      <w:marTop w:val="0"/>
      <w:marBottom w:val="0"/>
      <w:divBdr>
        <w:top w:val="none" w:sz="0" w:space="0" w:color="auto"/>
        <w:left w:val="none" w:sz="0" w:space="0" w:color="auto"/>
        <w:bottom w:val="none" w:sz="0" w:space="0" w:color="auto"/>
        <w:right w:val="none" w:sz="0" w:space="0" w:color="auto"/>
      </w:divBdr>
    </w:div>
    <w:div w:id="685834958">
      <w:bodyDiv w:val="1"/>
      <w:marLeft w:val="0"/>
      <w:marRight w:val="0"/>
      <w:marTop w:val="0"/>
      <w:marBottom w:val="0"/>
      <w:divBdr>
        <w:top w:val="none" w:sz="0" w:space="0" w:color="auto"/>
        <w:left w:val="none" w:sz="0" w:space="0" w:color="auto"/>
        <w:bottom w:val="none" w:sz="0" w:space="0" w:color="auto"/>
        <w:right w:val="none" w:sz="0" w:space="0" w:color="auto"/>
      </w:divBdr>
    </w:div>
    <w:div w:id="906457802">
      <w:bodyDiv w:val="1"/>
      <w:marLeft w:val="0"/>
      <w:marRight w:val="0"/>
      <w:marTop w:val="0"/>
      <w:marBottom w:val="0"/>
      <w:divBdr>
        <w:top w:val="none" w:sz="0" w:space="0" w:color="auto"/>
        <w:left w:val="none" w:sz="0" w:space="0" w:color="auto"/>
        <w:bottom w:val="none" w:sz="0" w:space="0" w:color="auto"/>
        <w:right w:val="none" w:sz="0" w:space="0" w:color="auto"/>
      </w:divBdr>
    </w:div>
    <w:div w:id="1046681103">
      <w:bodyDiv w:val="1"/>
      <w:marLeft w:val="0"/>
      <w:marRight w:val="0"/>
      <w:marTop w:val="0"/>
      <w:marBottom w:val="0"/>
      <w:divBdr>
        <w:top w:val="none" w:sz="0" w:space="0" w:color="auto"/>
        <w:left w:val="none" w:sz="0" w:space="0" w:color="auto"/>
        <w:bottom w:val="none" w:sz="0" w:space="0" w:color="auto"/>
        <w:right w:val="none" w:sz="0" w:space="0" w:color="auto"/>
      </w:divBdr>
    </w:div>
    <w:div w:id="1539004835">
      <w:bodyDiv w:val="1"/>
      <w:marLeft w:val="0"/>
      <w:marRight w:val="0"/>
      <w:marTop w:val="0"/>
      <w:marBottom w:val="0"/>
      <w:divBdr>
        <w:top w:val="none" w:sz="0" w:space="0" w:color="auto"/>
        <w:left w:val="none" w:sz="0" w:space="0" w:color="auto"/>
        <w:bottom w:val="none" w:sz="0" w:space="0" w:color="auto"/>
        <w:right w:val="none" w:sz="0" w:space="0" w:color="auto"/>
      </w:divBdr>
    </w:div>
    <w:div w:id="1564877500">
      <w:bodyDiv w:val="1"/>
      <w:marLeft w:val="0"/>
      <w:marRight w:val="0"/>
      <w:marTop w:val="0"/>
      <w:marBottom w:val="0"/>
      <w:divBdr>
        <w:top w:val="none" w:sz="0" w:space="0" w:color="auto"/>
        <w:left w:val="none" w:sz="0" w:space="0" w:color="auto"/>
        <w:bottom w:val="none" w:sz="0" w:space="0" w:color="auto"/>
        <w:right w:val="none" w:sz="0" w:space="0" w:color="auto"/>
      </w:divBdr>
    </w:div>
    <w:div w:id="208097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anna.karlsson@svenska.gu.se" TargetMode="External"/><Relationship Id="rId5" Type="http://schemas.openxmlformats.org/officeDocument/2006/relationships/hyperlink" Target="https://sprak.gu.se/forskning/forskningsomraden/sprak-i-samhallskontext/det-akademiska-skrivandets-politiska-ekonomi"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3</Pages>
  <Words>834</Words>
  <Characters>4424</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University of Gothenburg</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Järlehed</dc:creator>
  <cp:keywords/>
  <dc:description/>
  <cp:lastModifiedBy>Annika Andersson</cp:lastModifiedBy>
  <cp:revision>10</cp:revision>
  <dcterms:created xsi:type="dcterms:W3CDTF">2018-12-07T07:27:00Z</dcterms:created>
  <dcterms:modified xsi:type="dcterms:W3CDTF">2019-01-25T12:36:00Z</dcterms:modified>
</cp:coreProperties>
</file>